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0AC2" w:rsidRDefault="00D11F95" w:rsidP="005B4C18">
      <w:pPr>
        <w:pStyle w:val="Titolo2"/>
        <w:jc w:val="both"/>
      </w:pPr>
      <w:bookmarkStart w:id="0" w:name="inammissibilita"/>
      <w:r>
        <w:t>Inammissibilità del ricorso avverso</w:t>
      </w:r>
      <w:bookmarkEnd w:id="0"/>
    </w:p>
    <w:p w:rsidR="009E0AC2" w:rsidRDefault="00D11F95" w:rsidP="005B4C18">
      <w:pPr>
        <w:pStyle w:val="FirstParagraph"/>
        <w:jc w:val="both"/>
      </w:pPr>
      <w:r>
        <w:t>Il ricorso avverso deve ritenersi inammissibile per carenza di interesse ad agire in quanto volto a contestare non un atto di riscossione ma un atto endoprocedimentale, quale il verbale di accertamento ispettivo.</w:t>
      </w:r>
    </w:p>
    <w:p w:rsidR="009E0AC2" w:rsidRDefault="00D11F95" w:rsidP="005B4C18">
      <w:pPr>
        <w:pStyle w:val="Corpotesto"/>
        <w:jc w:val="both"/>
      </w:pPr>
      <w:r>
        <w:t>La giurisprudenza della Cassazione ha affermato che:</w:t>
      </w:r>
    </w:p>
    <w:p w:rsidR="009E0AC2" w:rsidRDefault="00D11F95" w:rsidP="005B4C18">
      <w:pPr>
        <w:pStyle w:val="Testodelblocco"/>
        <w:jc w:val="both"/>
      </w:pPr>
      <w:r>
        <w:t xml:space="preserve">‹‹nei tempi più recenti, ha avuto modo di intervenire riguardo a molteplici fattispecie concrete validando o meno la sussistenza dell’accesso al giudizio in ragione della tradizionale funzione assegnata </w:t>
      </w:r>
      <w:r>
        <w:t xml:space="preserve">all’art. 100 c.p.c.. Si è così in concreto operato, in adesione al convincimento espresso dalla dottrina con terminologia di stampo filosofico, attribuendo all’interesse ad agire ed al citato art. 100 c.p.c. una funzione remotiva, cioè lo si è considerato </w:t>
      </w:r>
      <w:r>
        <w:t>strumento di selezione, atto a svolgere la funzione logica di escludere un insieme di oggetti da una classe, rilevando la mancanza della proprietà essenziale a tutti gli oggetti che vi sono compresi. In particolare, sul presupposto che nelle azioni di mero</w:t>
      </w:r>
      <w:r>
        <w:t xml:space="preserve"> accertamento tale oggetto esaurisce lo scopo del processo, mancando altro da sottoporre alla funzione giudiziaria e che dunque occorre distinguere le azioni sorrette da un effettivo interesse giuridicamente tutelato da quelle meramente emulative, Cassazio</w:t>
      </w:r>
      <w:r>
        <w:t>ne n. 16626/2016 ha avuto modo di precisare, in modo del tutto condivisibile, che la funzione dell’art. 100 c.p.c. è innanzi tutto quella di sintetizzare in unica definizione il complesso dei criteri di selezione dell’accesso al giudizio che l’ordinamento,</w:t>
      </w:r>
      <w:r>
        <w:t xml:space="preserve"> presuppone attraverso le norme che in via immediata richiedono la sussistenza della lesione di un diritto (art. 24 Cost., art. 99 c.p.c. art. 2697 c.c.) inteso quale titolarità di una situazione giuridica subiettiva di vantaggio, di carattere sostanziale,</w:t>
      </w:r>
      <w:r>
        <w:t xml:space="preserve"> il cui riconoscimento, in caso di controversia, sia posto ad oggetto della pretesa fatta valere in giudizio (Corte Costituzionale sentenza n. 7/1962). </w:t>
      </w:r>
      <w:r>
        <w:rPr>
          <w:b/>
        </w:rPr>
        <w:t>Risultano, dunque, inammissibili azioni autonome di mero accertamento di fatti giuridicamente rilevanti</w:t>
      </w:r>
      <w:r>
        <w:t>,</w:t>
      </w:r>
      <w:r>
        <w:t xml:space="preserve"> perché solo l’intera fattispecie, una volta perfezionatasi, può nella sua interezza costituire oggetto di accertamento (ex aliis, Cassazione sentenza n. 10039/2002). </w:t>
      </w:r>
      <w:r>
        <w:rPr>
          <w:b/>
        </w:rPr>
        <w:t xml:space="preserve">Dunque l’interesse ad agire, che legittima alla proposizione della domanda, è dato dalla </w:t>
      </w:r>
      <w:r>
        <w:rPr>
          <w:b/>
        </w:rPr>
        <w:t>contestazione non già di un fatto bensì di un diritto e non sono proponibili azioni autonome di mero accertamento di fatti pur giuridicamente rilevanti ma che costituiscano elementi frazionati della fattispecie costitutiva di un diritto, la quale può costi</w:t>
      </w:r>
      <w:r>
        <w:rPr>
          <w:b/>
        </w:rPr>
        <w:t>tuire oggetto di accertamento giudiziario solo nella funzione genetica del diritto azionato e quindi nella sua interezza (Cassazione SS.UU. sentenza n. 27187/2006).</w:t>
      </w:r>
      <w:r>
        <w:t xml:space="preserve"> In sostanza, si richiede che con la sentenza di mero accertamento si ottenga un risultato g</w:t>
      </w:r>
      <w:r>
        <w:t xml:space="preserve">iuridicamente utile al fine di evitare il pregiudizio dell’attore relativamente a quel diritto che viene dedotto in causa e non ad altri diversi diritti di cui lo stesso attore sia o possa divenire in futuro titolare o per i quali possa avere necessità di </w:t>
      </w:r>
      <w:r>
        <w:t>contraddire (Cass. n.2785/1971; 1339/1973)››</w:t>
      </w:r>
    </w:p>
    <w:p w:rsidR="009E0AC2" w:rsidRDefault="00D11F95" w:rsidP="005B4C18">
      <w:pPr>
        <w:pStyle w:val="FirstParagraph"/>
        <w:jc w:val="both"/>
      </w:pPr>
      <w:r>
        <w:t>Così si è espressa la Suprema Corte di Cassazione Civile sez. lav. con la Sentenza n.18511 del 26/07/2017.</w:t>
      </w:r>
    </w:p>
    <w:p w:rsidR="009E0AC2" w:rsidRDefault="00D11F95" w:rsidP="005B4C18">
      <w:pPr>
        <w:pStyle w:val="Corpotesto"/>
        <w:jc w:val="both"/>
      </w:pPr>
      <w:r>
        <w:t>Sullo stesso tema la Suprema è intervenuta con altra pronuncia che si riporta di seguito.</w:t>
      </w:r>
    </w:p>
    <w:p w:rsidR="009E0AC2" w:rsidRDefault="00D11F95" w:rsidP="005B4C18">
      <w:pPr>
        <w:pStyle w:val="Testodelblocco"/>
        <w:jc w:val="both"/>
      </w:pPr>
      <w:r>
        <w:t>‹‹Poiché la tu</w:t>
      </w:r>
      <w:r>
        <w:t xml:space="preserve">tela giurisdizionale è tutela di diritti, il processo, salvo casi eccezionali predeterminati per legge, può essere utilizzato solo come fondamento del diritto fatto valere in giudizio e non di per sé, per gli effetti possibili e futuri. </w:t>
      </w:r>
      <w:r>
        <w:rPr>
          <w:b/>
        </w:rPr>
        <w:t xml:space="preserve">Pertanto, non sono </w:t>
      </w:r>
      <w:r>
        <w:rPr>
          <w:b/>
        </w:rPr>
        <w:t>proponibili azioni autonome di mero accertamento di fatti giuridicamente rilevanti ma che rappresentino elementi frazionistici della fattispecie costitutiva di un diritto,</w:t>
      </w:r>
      <w:r>
        <w:t xml:space="preserve"> la quale può formare oggetto di accertamento giudiziario solo nella funzione genetic</w:t>
      </w:r>
      <w:r>
        <w:t>a del diritto azionato e quindi nella sua interezza (Cassazione SS.UU. sentenza n. 27187 del 20/12/2006). L’interesse ad agire, che conferisce titolo per proporre in giudizio una domanda, a sensi dell’art. 100 c.p.c., inteso quale bisogno inevitabile di ri</w:t>
      </w:r>
      <w:r>
        <w:t>correre al giudice per evitare una lesione attuale o parziale del proprio diritto, va quindi valutato sulla base della interpretazione e qualificazione dei rapporti e delle situazioni dedotte nel materiale assertivo fornito dalle parti in causa››</w:t>
      </w:r>
    </w:p>
    <w:p w:rsidR="009E0AC2" w:rsidRDefault="00D11F95" w:rsidP="005B4C18">
      <w:pPr>
        <w:pStyle w:val="FirstParagraph"/>
        <w:jc w:val="both"/>
      </w:pPr>
      <w:r>
        <w:t>Così si è</w:t>
      </w:r>
      <w:r>
        <w:t xml:space="preserve"> espressa la Suprema Corte di Cassazione Civile sez. II con la Sentenza n. 20713 del 04/09/2017.</w:t>
      </w:r>
    </w:p>
    <w:p w:rsidR="009E0AC2" w:rsidRDefault="00D11F95" w:rsidP="005B4C18">
      <w:pPr>
        <w:pStyle w:val="Corpotesto"/>
        <w:jc w:val="both"/>
      </w:pPr>
      <w:r>
        <w:t>Altra pronuncia rilevante sul tema è quella di seguito riportata.</w:t>
      </w:r>
    </w:p>
    <w:p w:rsidR="009E0AC2" w:rsidRDefault="00D11F95" w:rsidP="005B4C18">
      <w:pPr>
        <w:pStyle w:val="Testodelblocco"/>
        <w:jc w:val="both"/>
      </w:pPr>
      <w:r>
        <w:lastRenderedPageBreak/>
        <w:t>‹‹Colui che agisce con l’azione di accertamento, anche se negativo, deve essere titolare dell</w:t>
      </w:r>
      <w:r>
        <w:t>’interesse, attuale e concreto, ad ottenere un risultato utile, giuridicamente rilevante e non conseguibile se non con l’intervento del giudice, mediante la rimozione di uno stato di incertezza oggettiva sull’esistenza del rapporto giuridico dedotto in cau</w:t>
      </w:r>
      <w:r>
        <w:t>sa››</w:t>
      </w:r>
    </w:p>
    <w:p w:rsidR="009E0AC2" w:rsidRDefault="00D11F95" w:rsidP="005B4C18">
      <w:pPr>
        <w:pStyle w:val="FirstParagraph"/>
        <w:jc w:val="both"/>
      </w:pPr>
      <w:r>
        <w:t>Così si è espressa la Suprema Corte di Cassazione con la Sentenza n. 16162 del 30/07/2015.</w:t>
      </w:r>
    </w:p>
    <w:p w:rsidR="009E0AC2" w:rsidRDefault="00D11F95" w:rsidP="005B4C18">
      <w:pPr>
        <w:pStyle w:val="Corpotesto"/>
        <w:jc w:val="both"/>
      </w:pPr>
      <w:r>
        <w:t>Si riporta, infine, il seguente ulteriore principio.</w:t>
      </w:r>
    </w:p>
    <w:p w:rsidR="009E0AC2" w:rsidRDefault="00D11F95" w:rsidP="005B4C18">
      <w:pPr>
        <w:pStyle w:val="Testodelblocco"/>
        <w:jc w:val="both"/>
      </w:pPr>
      <w:r>
        <w:t>‹‹Proprio in quanto condizione dell’azione, l’interesse ad agire deve senza dubbio sussistere al momento in</w:t>
      </w:r>
      <w:r>
        <w:t xml:space="preserve"> cui la causa viene decisa, ed anche sul punto è stato di recente ribadito che "La carenza dell’interesse ad agire, richiesto dall’art. 100 c.p.c. è rilevabile d’ufficio in ogni stato e grado del procedimento, anche in mancanza di contrasto tra le parti su</w:t>
      </w:r>
      <w:r>
        <w:t>l punto, poiché costituisce un requisito per la trattazione nel merito della domanda››</w:t>
      </w:r>
    </w:p>
    <w:p w:rsidR="009E0AC2" w:rsidRDefault="00D11F95" w:rsidP="005B4C18">
      <w:pPr>
        <w:pStyle w:val="FirstParagraph"/>
        <w:jc w:val="both"/>
      </w:pPr>
      <w:r>
        <w:t>Tale è il principio enunciato dalla Suprema Corte di Cassazione Civile sez. III con la Sentenza n.19268 del 29/09/2016.</w:t>
      </w:r>
    </w:p>
    <w:p w:rsidR="009E0AC2" w:rsidRDefault="00D11F95" w:rsidP="005B4C18">
      <w:pPr>
        <w:pStyle w:val="Corpotesto"/>
        <w:jc w:val="both"/>
      </w:pPr>
      <w:r>
        <w:rPr>
          <w:b/>
        </w:rPr>
        <w:t>In definitiva, l’azione di accertamen</w:t>
      </w:r>
      <w:bookmarkStart w:id="1" w:name="_GoBack"/>
      <w:bookmarkEnd w:id="1"/>
      <w:r>
        <w:rPr>
          <w:b/>
        </w:rPr>
        <w:t>to è esperib</w:t>
      </w:r>
      <w:r>
        <w:rPr>
          <w:b/>
        </w:rPr>
        <w:t>ile solo a tutela di una posizione giuridica soggettiva attuale e concreta, non anche per l’accertamento di meri fatti, né a tutela di una posizione giuridica soggettiva eventuale o futura.</w:t>
      </w:r>
    </w:p>
    <w:p w:rsidR="009E0AC2" w:rsidRDefault="00D11F95" w:rsidP="005B4C18">
      <w:pPr>
        <w:pStyle w:val="Corpotesto"/>
        <w:jc w:val="both"/>
      </w:pPr>
      <w:r>
        <w:t>Essendo una condizione dell’azione, pur non sussistendo al momento</w:t>
      </w:r>
      <w:r>
        <w:t xml:space="preserve"> della proposizione della domanda giudiziale, ben potrebbe sopraggiungere nel momento immediatamente antecedente alla pronuncia magistratuale, comportando, in questa sola ipotesi, l’obbligo di decisione nel merito della controversia.</w:t>
      </w:r>
    </w:p>
    <w:p w:rsidR="009E0AC2" w:rsidRDefault="00D11F95" w:rsidP="005B4C18">
      <w:pPr>
        <w:pStyle w:val="Corpotesto"/>
        <w:jc w:val="both"/>
      </w:pPr>
      <w:r>
        <w:rPr>
          <w:b/>
        </w:rPr>
        <w:t>Nel caso che ci occupa</w:t>
      </w:r>
      <w:r>
        <w:rPr>
          <w:b/>
        </w:rPr>
        <w:t>, il verbale di accertamento impugnato non è un provvedimento definitivo (v. Cassazione ordinanza n. 32886 del 19/12/2018), ma un mero atto endo-procedimentale</w:t>
      </w:r>
      <w:r>
        <w:t>.</w:t>
      </w:r>
    </w:p>
    <w:p w:rsidR="009E0AC2" w:rsidRDefault="00D11F95" w:rsidP="005B4C18">
      <w:pPr>
        <w:pStyle w:val="Corpotesto"/>
        <w:jc w:val="both"/>
      </w:pPr>
      <w:r>
        <w:rPr>
          <w:b/>
        </w:rPr>
        <w:t>In difetto di una disposizione normativa contraria (come ad esempio in tema di autonoma impugna</w:t>
      </w:r>
      <w:r>
        <w:rPr>
          <w:b/>
        </w:rPr>
        <w:t xml:space="preserve">bilità del verbale di accertamento per violazioni al codice della strada), l’impugnazione dello stesso dinanzi all’Autorità Giudiziaria, dunque, non è ammissibile in quanto si chiede al giudice una pronuncia di accertamento negativo circa l’esistenza e la </w:t>
      </w:r>
      <w:r>
        <w:rPr>
          <w:b/>
        </w:rPr>
        <w:t>qualificazione giuridica di meri fatti storici e non su diritti</w:t>
      </w:r>
      <w:r>
        <w:t>; l’importo indicato a titolo di contributi è una mera indicazione senza alcuna efficacia giuridica: non è sorto sulla base del verbale in questione alcun obbligo di pagamento in capo a alla pa</w:t>
      </w:r>
      <w:r>
        <w:t>rte ricorrente.</w:t>
      </w:r>
    </w:p>
    <w:p w:rsidR="009E0AC2" w:rsidRDefault="00D11F95" w:rsidP="005B4C18">
      <w:pPr>
        <w:pStyle w:val="Corpotesto"/>
        <w:jc w:val="both"/>
      </w:pPr>
      <w:r>
        <w:t>A nulla potrebbe rilevare la circostanza che nelle conclusioni del ricorso introduttivo del giudizio vengano utilizzate formule di stile come ad esempio “annullare.. il verbale di accertamento..e tutti gli atti presupposti, connessi e conse</w:t>
      </w:r>
      <w:r>
        <w:t xml:space="preserve">guenziali”, perché si ritiene invocabili nel processo civile gli assunti pacifici della giurisprudenza amministrativa, secondo la quale: - gli atti amministrativi conseguenziali impugnati devono essere puntualmente inseriti nell’oggetto della domanda ed a </w:t>
      </w:r>
      <w:r>
        <w:t xml:space="preserve">questi devono essere direttamente collegate le specifiche censure, atteso che solo l’inequivoca indicazione del </w:t>
      </w:r>
      <w:r>
        <w:rPr>
          <w:i/>
        </w:rPr>
        <w:t>petitum</w:t>
      </w:r>
      <w:r>
        <w:t xml:space="preserve"> dell’azione di annullamento </w:t>
      </w:r>
      <w:r>
        <w:rPr>
          <w:i/>
        </w:rPr>
        <w:t>rectius</w:t>
      </w:r>
      <w:r>
        <w:t xml:space="preserve"> di accertamento incidentale della loro illegittimità consente alle controparti la piena esplicazione</w:t>
      </w:r>
      <w:r>
        <w:t xml:space="preserve"> del loro diritto di difesa ed al giudice di prendere esatta cognizione dell’oggetto della pronuncia magistratuale che gli si richiede (</w:t>
      </w:r>
      <w:r>
        <w:rPr>
          <w:b/>
        </w:rPr>
        <w:t>v. Consiglio di Stato sez. V sentenza n. 4043 del 21/08/2017</w:t>
      </w:r>
      <w:r>
        <w:t>); - la mancata impugnazione di un atto prodromico con effic</w:t>
      </w:r>
      <w:r>
        <w:t>acia esterna (idoneo cioè ad incidere negativamente sulle posizioni giuridiche soggettive altrui) preclude la possibilità di contestare gli atti conseguenziali di pari rilievo, per difetto di interesse ad agire (non potrebbe essere conseguito alcun risulta</w:t>
      </w:r>
      <w:r>
        <w:t xml:space="preserve">to utile con la pronuncia magistratuale essendo definito ed irretrattabile l’atto presupposto) e, in caso di proposizione di domanda di annullamento di questi ultimi, </w:t>
      </w:r>
      <w:r>
        <w:rPr>
          <w:b/>
        </w:rPr>
        <w:t>la domanda deve essere dichiarata inammissibile (v. Consiglio di Stato sez. IV n. 3732 de</w:t>
      </w:r>
      <w:r>
        <w:rPr>
          <w:b/>
        </w:rPr>
        <w:t>l 27/07/2017)</w:t>
      </w:r>
      <w:r>
        <w:t>, salve le ipotesi di invalidità ad effetto caducante, che può essere riconosciuta solo in presenza di due elementi: l’appartenenza alla medesima serie procedimentale dell’atto annullato direttamente e di quello caducato per conseguenza; b) il</w:t>
      </w:r>
      <w:r>
        <w:t xml:space="preserve"> rapporto di necessaria derivazione del secondo dal primo, come sua inevitabile ed ineluttabile conseguenza e senza necessità di nuove ed ulteriori valutazioni di interessi, con particolare riguardo al coinvolgimento di soggetti terzi; pertanto, qualora al</w:t>
      </w:r>
      <w:r>
        <w:t>meno uno dei due detti presupposti sia inesistente, è inapplicabile lo schema concettuale della caducazione e debbono ritenersi utilizzabili unicamente le usuali impugnative tipiche del diritto amministrativo (</w:t>
      </w:r>
      <w:r>
        <w:rPr>
          <w:b/>
        </w:rPr>
        <w:t xml:space="preserve">v. Consiglio di Stato sez. IV sentenza n.3001 </w:t>
      </w:r>
      <w:r>
        <w:rPr>
          <w:b/>
        </w:rPr>
        <w:t>del 18/05/2018</w:t>
      </w:r>
      <w:r>
        <w:t xml:space="preserve">); - </w:t>
      </w:r>
      <w:r>
        <w:rPr>
          <w:b/>
        </w:rPr>
        <w:t>la censura dinanzi alla A.G. di un atto endoprocedimentale privo di efficacia esterna è ammessa solo nei casi tassativamente previsti dalla legge (v. T.A.R. Roma sez. III n. 5680 del 22/05/2018)</w:t>
      </w:r>
      <w:r>
        <w:t xml:space="preserve">. In difetto, </w:t>
      </w:r>
      <w:r>
        <w:rPr>
          <w:b/>
        </w:rPr>
        <w:t>non è autonomamente impugnabi</w:t>
      </w:r>
      <w:r>
        <w:rPr>
          <w:b/>
        </w:rPr>
        <w:t>le</w:t>
      </w:r>
      <w:r>
        <w:t>, in quanto la lesione della sfera giuridica del destinatario è di regola imputabile all’atto che conclude il procedimento; tuttavia questa regola generale subisce eccezioni in casi particolari, in relazione ad atti di natura vincolata idonei a determina</w:t>
      </w:r>
      <w:r>
        <w:t>re in via inderogabile il contenuto dell’atto conclusivo del procedimento (v. Consiglio di Stato sez. IV sentenza n. 602 del 13/02/2017 e Consiglio di Stato sez. VI sentenza n. 2862 del 28/06/2016) ovvero ad atti interlocutori, che comportino un arresto pr</w:t>
      </w:r>
      <w:r>
        <w:t>ocedimentale (v. Consiglio di Stato sez. IV sentenza n. 2858 del 12/06/2017).</w:t>
      </w:r>
    </w:p>
    <w:p w:rsidR="009E0AC2" w:rsidRDefault="00D11F95" w:rsidP="005B4C18">
      <w:pPr>
        <w:pStyle w:val="Corpotesto"/>
        <w:jc w:val="both"/>
      </w:pPr>
      <w:r>
        <w:rPr>
          <w:b/>
        </w:rPr>
        <w:t>Ai fini della ammissibilità della impugnazione avverso il solo verbale di accertamento INPS non può essere invocato il disposto dell’art. 24 comma 3 d.lgs. n. 46/1999 – “Riordino</w:t>
      </w:r>
      <w:r>
        <w:rPr>
          <w:b/>
        </w:rPr>
        <w:t xml:space="preserve"> della disciplina della riscossione mediante ruolo, a norma dell’articolo 1 della legge 28 settembre 1998, n. 337” -, secondo cui “se l’accertamento effettuato dall’ufficio è impugnato davanti all’Autorità Giudiziaria, l’iscrizione a ruolo è eseguita in pr</w:t>
      </w:r>
      <w:r>
        <w:rPr>
          <w:b/>
        </w:rPr>
        <w:t>esenza di provvedimento esecutivo del giudice”.</w:t>
      </w:r>
    </w:p>
    <w:p w:rsidR="009E0AC2" w:rsidRDefault="00D11F95" w:rsidP="005B4C18">
      <w:pPr>
        <w:pStyle w:val="Corpotesto"/>
        <w:jc w:val="both"/>
      </w:pPr>
      <w:r>
        <w:t xml:space="preserve">La norma in questione, infatti, </w:t>
      </w:r>
      <w:r>
        <w:rPr>
          <w:b/>
        </w:rPr>
        <w:t xml:space="preserve">non può essere interpretata come norma autorizzativa </w:t>
      </w:r>
      <w:r>
        <w:rPr>
          <w:b/>
          <w:i/>
        </w:rPr>
        <w:t>tout court</w:t>
      </w:r>
      <w:r>
        <w:rPr>
          <w:b/>
        </w:rPr>
        <w:t xml:space="preserve"> dell’impugnabilità dei verbali ispettivi, ma piuttosto come norma che regola gli effetti sulla riscossione dell’</w:t>
      </w:r>
      <w:r>
        <w:rPr>
          <w:b/>
        </w:rPr>
        <w:t>impugnazione dinanzi l’A.G. dei verbali di accertamento,</w:t>
      </w:r>
      <w:r>
        <w:t xml:space="preserve"> ove la legge lo prevede: essa, dunque, presuppone la verifica dell’interesse ad agire, non lo statuisce.</w:t>
      </w:r>
    </w:p>
    <w:p w:rsidR="009E0AC2" w:rsidRDefault="00D11F95" w:rsidP="005B4C18">
      <w:pPr>
        <w:pStyle w:val="Corpotesto"/>
        <w:jc w:val="both"/>
      </w:pPr>
      <w:r>
        <w:t>Che sia così, d’altro canto, lo si ricava da due considerazioni di ordine generale: la prima è</w:t>
      </w:r>
      <w:r>
        <w:t xml:space="preserve"> che la previsione si inserisce all’interno della regolamentazione della riscossione mediante ruolo e opportunamente fa riferimento in generale agli accertamenti; la seconda è che nell’art. 24 comma 3 citato non c’è nessuna deroga alla disciplina propria d</w:t>
      </w:r>
      <w:r>
        <w:t>ei singoli accertamenti, che, pertanto, in mancanza di una espressa previsione in tal senso deve essere mantenuta ferma.</w:t>
      </w:r>
    </w:p>
    <w:sectPr w:rsidR="009E0AC2">
      <w:pgSz w:w="12240" w:h="15840"/>
      <w:pgMar w:top="1417" w:right="1134" w:bottom="1134" w:left="1134"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11F95" w:rsidRDefault="00D11F95">
      <w:pPr>
        <w:spacing w:after="0"/>
      </w:pPr>
      <w:r>
        <w:separator/>
      </w:r>
    </w:p>
  </w:endnote>
  <w:endnote w:type="continuationSeparator" w:id="0">
    <w:p w:rsidR="00D11F95" w:rsidRDefault="00D11F9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nsolas">
    <w:panose1 w:val="020B0609020204030204"/>
    <w:charset w:val="00"/>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11F95" w:rsidRDefault="00D11F95">
      <w:r>
        <w:separator/>
      </w:r>
    </w:p>
  </w:footnote>
  <w:footnote w:type="continuationSeparator" w:id="0">
    <w:p w:rsidR="00D11F95" w:rsidRDefault="00D11F9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C1AE401"/>
    <w:multiLevelType w:val="multilevel"/>
    <w:tmpl w:val="7B525886"/>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283"/>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590D07"/>
    <w:rsid w:val="00011C8B"/>
    <w:rsid w:val="004E29B3"/>
    <w:rsid w:val="00590D07"/>
    <w:rsid w:val="005B4C18"/>
    <w:rsid w:val="00784D58"/>
    <w:rsid w:val="008D6863"/>
    <w:rsid w:val="009E0AC2"/>
    <w:rsid w:val="00B86B75"/>
    <w:rsid w:val="00BC48D5"/>
    <w:rsid w:val="00C36279"/>
    <w:rsid w:val="00D11F95"/>
    <w:rsid w:val="00E315A3"/>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28B4DA6-DDF4-46D7-80DC-E1BEBAB54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paragraph" w:styleId="Titolo1">
    <w:name w:val="heading 1"/>
    <w:basedOn w:val="Normale"/>
    <w:next w:val="Corpotesto"/>
    <w:uiPriority w:val="9"/>
    <w:qFormat/>
    <w:pPr>
      <w:keepNext/>
      <w:keepLines/>
      <w:spacing w:before="480" w:after="0"/>
      <w:outlineLvl w:val="0"/>
    </w:pPr>
    <w:rPr>
      <w:rFonts w:asciiTheme="majorHAnsi" w:eastAsiaTheme="majorEastAsia" w:hAnsiTheme="majorHAnsi" w:cstheme="majorBidi"/>
      <w:b/>
      <w:bCs/>
      <w:color w:val="345A8A" w:themeColor="accent1" w:themeShade="B5"/>
      <w:sz w:val="32"/>
      <w:szCs w:val="32"/>
    </w:rPr>
  </w:style>
  <w:style w:type="paragraph" w:styleId="Titolo2">
    <w:name w:val="heading 2"/>
    <w:basedOn w:val="Normale"/>
    <w:next w:val="Corpotesto"/>
    <w:uiPriority w:val="9"/>
    <w:unhideWhenUsed/>
    <w:qFormat/>
    <w:pPr>
      <w:keepNext/>
      <w:keepLines/>
      <w:spacing w:before="200" w:after="0"/>
      <w:outlineLvl w:val="1"/>
    </w:pPr>
    <w:rPr>
      <w:rFonts w:asciiTheme="majorHAnsi" w:eastAsiaTheme="majorEastAsia" w:hAnsiTheme="majorHAnsi" w:cstheme="majorBidi"/>
      <w:b/>
      <w:bCs/>
      <w:color w:val="4F81BD" w:themeColor="accent1"/>
      <w:sz w:val="32"/>
      <w:szCs w:val="32"/>
    </w:rPr>
  </w:style>
  <w:style w:type="paragraph" w:styleId="Titolo3">
    <w:name w:val="heading 3"/>
    <w:basedOn w:val="Normale"/>
    <w:next w:val="Corpotesto"/>
    <w:uiPriority w:val="9"/>
    <w:unhideWhenUsed/>
    <w:qFormat/>
    <w:pPr>
      <w:keepNext/>
      <w:keepLines/>
      <w:spacing w:before="200" w:after="0"/>
      <w:outlineLvl w:val="2"/>
    </w:pPr>
    <w:rPr>
      <w:rFonts w:asciiTheme="majorHAnsi" w:eastAsiaTheme="majorEastAsia" w:hAnsiTheme="majorHAnsi" w:cstheme="majorBidi"/>
      <w:b/>
      <w:bCs/>
      <w:color w:val="4F81BD" w:themeColor="accent1"/>
      <w:sz w:val="28"/>
      <w:szCs w:val="28"/>
    </w:rPr>
  </w:style>
  <w:style w:type="paragraph" w:styleId="Titolo4">
    <w:name w:val="heading 4"/>
    <w:basedOn w:val="Normale"/>
    <w:next w:val="Corpotesto"/>
    <w:uiPriority w:val="9"/>
    <w:unhideWhenUsed/>
    <w:qFormat/>
    <w:pPr>
      <w:keepNext/>
      <w:keepLines/>
      <w:spacing w:before="200" w:after="0"/>
      <w:outlineLvl w:val="3"/>
    </w:pPr>
    <w:rPr>
      <w:rFonts w:asciiTheme="majorHAnsi" w:eastAsiaTheme="majorEastAsia" w:hAnsiTheme="majorHAnsi" w:cstheme="majorBidi"/>
      <w:b/>
      <w:bCs/>
      <w:color w:val="4F81BD" w:themeColor="accent1"/>
    </w:rPr>
  </w:style>
  <w:style w:type="paragraph" w:styleId="Titolo5">
    <w:name w:val="heading 5"/>
    <w:basedOn w:val="Normale"/>
    <w:next w:val="Corpotesto"/>
    <w:uiPriority w:val="9"/>
    <w:unhideWhenUsed/>
    <w:qFormat/>
    <w:pPr>
      <w:keepNext/>
      <w:keepLines/>
      <w:spacing w:before="200" w:after="0"/>
      <w:outlineLvl w:val="4"/>
    </w:pPr>
    <w:rPr>
      <w:rFonts w:asciiTheme="majorHAnsi" w:eastAsiaTheme="majorEastAsia" w:hAnsiTheme="majorHAnsi" w:cstheme="majorBidi"/>
      <w:i/>
      <w:iCs/>
      <w:color w:val="4F81BD" w:themeColor="accent1"/>
    </w:rPr>
  </w:style>
  <w:style w:type="paragraph" w:styleId="Titolo6">
    <w:name w:val="heading 6"/>
    <w:basedOn w:val="Normale"/>
    <w:next w:val="Corpotesto"/>
    <w:uiPriority w:val="9"/>
    <w:unhideWhenUsed/>
    <w:qFormat/>
    <w:pPr>
      <w:keepNext/>
      <w:keepLines/>
      <w:spacing w:before="200" w:after="0"/>
      <w:outlineLvl w:val="5"/>
    </w:pPr>
    <w:rPr>
      <w:rFonts w:asciiTheme="majorHAnsi" w:eastAsiaTheme="majorEastAsia" w:hAnsiTheme="majorHAnsi" w:cstheme="majorBidi"/>
      <w:color w:val="4F81BD" w:themeColor="accent1"/>
    </w:rPr>
  </w:style>
  <w:style w:type="paragraph" w:styleId="Titolo7">
    <w:name w:val="heading 7"/>
    <w:basedOn w:val="Normale"/>
    <w:next w:val="Corpotesto"/>
    <w:uiPriority w:val="9"/>
    <w:unhideWhenUsed/>
    <w:qFormat/>
    <w:pPr>
      <w:keepNext/>
      <w:keepLines/>
      <w:spacing w:before="200" w:after="0"/>
      <w:outlineLvl w:val="6"/>
    </w:pPr>
    <w:rPr>
      <w:rFonts w:asciiTheme="majorHAnsi" w:eastAsiaTheme="majorEastAsia" w:hAnsiTheme="majorHAnsi" w:cstheme="majorBidi"/>
      <w:color w:val="4F81BD" w:themeColor="accent1"/>
    </w:rPr>
  </w:style>
  <w:style w:type="paragraph" w:styleId="Titolo8">
    <w:name w:val="heading 8"/>
    <w:basedOn w:val="Normale"/>
    <w:next w:val="Corpotesto"/>
    <w:uiPriority w:val="9"/>
    <w:unhideWhenUsed/>
    <w:qFormat/>
    <w:pPr>
      <w:keepNext/>
      <w:keepLines/>
      <w:spacing w:before="200" w:after="0"/>
      <w:outlineLvl w:val="7"/>
    </w:pPr>
    <w:rPr>
      <w:rFonts w:asciiTheme="majorHAnsi" w:eastAsiaTheme="majorEastAsia" w:hAnsiTheme="majorHAnsi" w:cstheme="majorBidi"/>
      <w:color w:val="4F81BD" w:themeColor="accent1"/>
    </w:rPr>
  </w:style>
  <w:style w:type="paragraph" w:styleId="Titolo9">
    <w:name w:val="heading 9"/>
    <w:basedOn w:val="Normale"/>
    <w:next w:val="Corpotesto"/>
    <w:uiPriority w:val="9"/>
    <w:unhideWhenUsed/>
    <w:qFormat/>
    <w:pPr>
      <w:keepNext/>
      <w:keepLines/>
      <w:spacing w:before="200" w:after="0"/>
      <w:outlineLvl w:val="8"/>
    </w:pPr>
    <w:rPr>
      <w:rFonts w:asciiTheme="majorHAnsi" w:eastAsiaTheme="majorEastAsia" w:hAnsiTheme="majorHAnsi" w:cstheme="majorBidi"/>
      <w:color w:val="4F81BD" w:themeColor="accent1"/>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Corpotesto">
    <w:name w:val="Body Text"/>
    <w:basedOn w:val="Normale"/>
    <w:qFormat/>
    <w:pPr>
      <w:spacing w:before="180" w:after="180"/>
    </w:pPr>
  </w:style>
  <w:style w:type="paragraph" w:customStyle="1" w:styleId="FirstParagraph">
    <w:name w:val="First Paragraph"/>
    <w:basedOn w:val="Corpotesto"/>
    <w:next w:val="Corpotesto"/>
    <w:qFormat/>
  </w:style>
  <w:style w:type="paragraph" w:customStyle="1" w:styleId="Compact">
    <w:name w:val="Compact"/>
    <w:basedOn w:val="Corpotesto"/>
    <w:qFormat/>
    <w:pPr>
      <w:spacing w:before="36" w:after="36"/>
    </w:pPr>
  </w:style>
  <w:style w:type="paragraph" w:styleId="Titolo">
    <w:name w:val="Title"/>
    <w:basedOn w:val="Normale"/>
    <w:next w:val="Corpotesto"/>
    <w:qFormat/>
    <w:pPr>
      <w:keepNext/>
      <w:keepLines/>
      <w:spacing w:before="480" w:after="240"/>
      <w:jc w:val="center"/>
    </w:pPr>
    <w:rPr>
      <w:rFonts w:asciiTheme="majorHAnsi" w:eastAsiaTheme="majorEastAsia" w:hAnsiTheme="majorHAnsi" w:cstheme="majorBidi"/>
      <w:b/>
      <w:bCs/>
      <w:color w:val="345A8A" w:themeColor="accent1" w:themeShade="B5"/>
      <w:sz w:val="36"/>
      <w:szCs w:val="36"/>
    </w:rPr>
  </w:style>
  <w:style w:type="paragraph" w:styleId="Sottotitolo">
    <w:name w:val="Subtitle"/>
    <w:basedOn w:val="Titolo"/>
    <w:next w:val="Corpotesto"/>
    <w:qFormat/>
    <w:pPr>
      <w:spacing w:before="240"/>
    </w:pPr>
    <w:rPr>
      <w:sz w:val="30"/>
      <w:szCs w:val="30"/>
    </w:rPr>
  </w:style>
  <w:style w:type="paragraph" w:customStyle="1" w:styleId="Author">
    <w:name w:val="Author"/>
    <w:next w:val="Corpotesto"/>
    <w:qFormat/>
    <w:pPr>
      <w:keepNext/>
      <w:keepLines/>
      <w:jc w:val="center"/>
    </w:pPr>
  </w:style>
  <w:style w:type="paragraph" w:styleId="Data">
    <w:name w:val="Date"/>
    <w:next w:val="Corpotesto"/>
    <w:qFormat/>
    <w:pPr>
      <w:keepNext/>
      <w:keepLines/>
      <w:jc w:val="center"/>
    </w:pPr>
  </w:style>
  <w:style w:type="paragraph" w:customStyle="1" w:styleId="Abstract">
    <w:name w:val="Abstract"/>
    <w:basedOn w:val="Normale"/>
    <w:next w:val="Corpotesto"/>
    <w:qFormat/>
    <w:pPr>
      <w:keepNext/>
      <w:keepLines/>
      <w:spacing w:before="300" w:after="300"/>
    </w:pPr>
    <w:rPr>
      <w:sz w:val="20"/>
      <w:szCs w:val="20"/>
    </w:rPr>
  </w:style>
  <w:style w:type="paragraph" w:styleId="Bibliografia">
    <w:name w:val="Bibliography"/>
    <w:basedOn w:val="Normale"/>
    <w:qFormat/>
  </w:style>
  <w:style w:type="paragraph" w:styleId="Testodelblocco">
    <w:name w:val="Block Text"/>
    <w:basedOn w:val="Corpotesto"/>
    <w:next w:val="Corpotesto"/>
    <w:uiPriority w:val="9"/>
    <w:unhideWhenUsed/>
    <w:qFormat/>
    <w:pPr>
      <w:spacing w:before="100" w:after="100"/>
    </w:pPr>
    <w:rPr>
      <w:rFonts w:asciiTheme="majorHAnsi" w:eastAsiaTheme="majorEastAsia" w:hAnsiTheme="majorHAnsi" w:cstheme="majorBidi"/>
      <w:bCs/>
      <w:sz w:val="20"/>
      <w:szCs w:val="20"/>
    </w:rPr>
  </w:style>
  <w:style w:type="paragraph" w:styleId="Testonotaapidipagina">
    <w:name w:val="footnote text"/>
    <w:basedOn w:val="Normale"/>
    <w:uiPriority w:val="9"/>
    <w:unhideWhenUsed/>
    <w:qFormat/>
  </w:style>
  <w:style w:type="table" w:customStyle="1" w:styleId="Table">
    <w:name w:val="Table"/>
    <w:semiHidden/>
    <w:unhideWhenUsed/>
    <w:qFormat/>
    <w:tblPr>
      <w:tblInd w:w="0" w:type="dxa"/>
      <w:tblCellMar>
        <w:top w:w="0" w:type="dxa"/>
        <w:left w:w="108" w:type="dxa"/>
        <w:bottom w:w="0" w:type="dxa"/>
        <w:right w:w="108" w:type="dxa"/>
      </w:tblCellMar>
    </w:tblPr>
  </w:style>
  <w:style w:type="paragraph" w:customStyle="1" w:styleId="DefinitionTerm">
    <w:name w:val="Definition Term"/>
    <w:basedOn w:val="Normale"/>
    <w:next w:val="Definition"/>
    <w:pPr>
      <w:keepNext/>
      <w:keepLines/>
      <w:spacing w:after="0"/>
    </w:pPr>
    <w:rPr>
      <w:b/>
    </w:rPr>
  </w:style>
  <w:style w:type="paragraph" w:customStyle="1" w:styleId="Definition">
    <w:name w:val="Definition"/>
    <w:basedOn w:val="Normale"/>
  </w:style>
  <w:style w:type="paragraph" w:styleId="Didascalia">
    <w:name w:val="caption"/>
    <w:basedOn w:val="Normale"/>
    <w:link w:val="DidascaliaCarattere"/>
    <w:pPr>
      <w:spacing w:after="120"/>
    </w:pPr>
    <w:rPr>
      <w:i/>
    </w:rPr>
  </w:style>
  <w:style w:type="paragraph" w:customStyle="1" w:styleId="TableCaption">
    <w:name w:val="Table Caption"/>
    <w:basedOn w:val="Didascalia"/>
    <w:pPr>
      <w:keepNext/>
    </w:pPr>
  </w:style>
  <w:style w:type="paragraph" w:customStyle="1" w:styleId="ImageCaption">
    <w:name w:val="Image Caption"/>
    <w:basedOn w:val="Didascalia"/>
  </w:style>
  <w:style w:type="paragraph" w:customStyle="1" w:styleId="Figure">
    <w:name w:val="Figure"/>
    <w:basedOn w:val="Normale"/>
  </w:style>
  <w:style w:type="paragraph" w:customStyle="1" w:styleId="CaptionedFigure">
    <w:name w:val="Captioned Figure"/>
    <w:basedOn w:val="Figure"/>
    <w:pPr>
      <w:keepNext/>
    </w:pPr>
  </w:style>
  <w:style w:type="character" w:customStyle="1" w:styleId="DidascaliaCarattere">
    <w:name w:val="Didascalia Carattere"/>
    <w:basedOn w:val="Carpredefinitoparagrafo"/>
    <w:link w:val="Didascalia"/>
  </w:style>
  <w:style w:type="character" w:customStyle="1" w:styleId="VerbatimChar">
    <w:name w:val="Verbatim Char"/>
    <w:basedOn w:val="DidascaliaCarattere"/>
    <w:link w:val="SourceCode"/>
    <w:rPr>
      <w:rFonts w:ascii="Consolas" w:hAnsi="Consolas"/>
      <w:sz w:val="22"/>
    </w:rPr>
  </w:style>
  <w:style w:type="character" w:styleId="Rimandonotaapidipagina">
    <w:name w:val="footnote reference"/>
    <w:basedOn w:val="DidascaliaCarattere"/>
    <w:rPr>
      <w:vertAlign w:val="superscript"/>
    </w:rPr>
  </w:style>
  <w:style w:type="character" w:styleId="Collegamentoipertestuale">
    <w:name w:val="Hyperlink"/>
    <w:basedOn w:val="DidascaliaCarattere"/>
    <w:rPr>
      <w:color w:val="4F81BD" w:themeColor="accent1"/>
    </w:rPr>
  </w:style>
  <w:style w:type="paragraph" w:styleId="Titolosommario">
    <w:name w:val="TOC Heading"/>
    <w:basedOn w:val="Titolo1"/>
    <w:next w:val="Corpotesto"/>
    <w:uiPriority w:val="39"/>
    <w:unhideWhenUsed/>
    <w:qFormat/>
    <w:pPr>
      <w:spacing w:before="240" w:line="259" w:lineRule="auto"/>
      <w:outlineLvl w:val="9"/>
    </w:pPr>
    <w:rPr>
      <w:b w:val="0"/>
      <w:bCs w:val="0"/>
      <w:color w:val="365F91" w:themeColor="accent1" w:themeShade="BF"/>
    </w:rPr>
  </w:style>
  <w:style w:type="paragraph" w:customStyle="1" w:styleId="SourceCode">
    <w:name w:val="Source Code"/>
    <w:basedOn w:val="Normale"/>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3</Pages>
  <Words>1698</Words>
  <Characters>9680</Characters>
  <Application>Microsoft Office Word</Application>
  <DocSecurity>0</DocSecurity>
  <Lines>80</Lines>
  <Paragraphs>22</Paragraphs>
  <ScaleCrop>false</ScaleCrop>
  <Company>I.N.P.S.</Company>
  <LinksUpToDate>false</LinksUpToDate>
  <CharactersWithSpaces>11356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Pasut Franco</cp:lastModifiedBy>
  <cp:revision>2</cp:revision>
  <dcterms:created xsi:type="dcterms:W3CDTF">2019-06-20T08:53:00Z</dcterms:created>
  <dcterms:modified xsi:type="dcterms:W3CDTF">2019-06-20T09:14:00Z</dcterms:modified>
</cp:coreProperties>
</file>